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A57B" w14:textId="0FD6F45B" w:rsidR="00105C18" w:rsidRPr="00677463" w:rsidRDefault="000B7794" w:rsidP="000B7794">
      <w:pPr>
        <w:ind w:left="115"/>
        <w:jc w:val="right"/>
        <w:rPr>
          <w:rFonts w:ascii="TeleGrotesk Headline Ultra" w:hAnsi="TeleGrotesk Headline Ultra"/>
          <w:b/>
          <w:w w:val="95"/>
          <w:sz w:val="52"/>
          <w:szCs w:val="52"/>
          <w:lang w:val="cs-CZ"/>
        </w:rPr>
      </w:pPr>
      <w:r w:rsidRPr="00305286">
        <w:rPr>
          <w:smallCaps/>
          <w:noProof/>
          <w:lang w:val="cs-CZ" w:eastAsia="cs-CZ"/>
        </w:rPr>
        <w:drawing>
          <wp:inline distT="0" distB="0" distL="0" distR="0" wp14:anchorId="11F9AF14" wp14:editId="5FE0207E">
            <wp:extent cx="313559" cy="374071"/>
            <wp:effectExtent l="0" t="0" r="0" b="698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8" cy="38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leGrotesk Headline Ultra" w:hAnsi="TeleGrotesk Headline Ultra"/>
          <w:b/>
          <w:spacing w:val="-4"/>
          <w:w w:val="95"/>
          <w:sz w:val="52"/>
          <w:szCs w:val="52"/>
          <w:lang w:val="cs-CZ"/>
        </w:rPr>
        <w:t xml:space="preserve"> </w:t>
      </w:r>
      <w:r>
        <w:rPr>
          <w:rFonts w:ascii="TeleGrotesk Headline Ultra" w:hAnsi="TeleGrotesk Headline Ultra"/>
          <w:b/>
          <w:spacing w:val="-4"/>
          <w:w w:val="95"/>
          <w:sz w:val="52"/>
          <w:szCs w:val="52"/>
          <w:lang w:val="cs-CZ"/>
        </w:rPr>
        <w:tab/>
      </w:r>
      <w:r>
        <w:rPr>
          <w:rFonts w:ascii="TeleGrotesk Headline Ultra" w:hAnsi="TeleGrotesk Headline Ultra"/>
          <w:b/>
          <w:spacing w:val="-4"/>
          <w:w w:val="95"/>
          <w:sz w:val="52"/>
          <w:szCs w:val="52"/>
          <w:lang w:val="cs-CZ"/>
        </w:rPr>
        <w:tab/>
      </w:r>
      <w:r>
        <w:rPr>
          <w:rFonts w:ascii="TeleGrotesk Headline Ultra" w:hAnsi="TeleGrotesk Headline Ultra"/>
          <w:b/>
          <w:spacing w:val="-4"/>
          <w:w w:val="95"/>
          <w:sz w:val="52"/>
          <w:szCs w:val="52"/>
          <w:lang w:val="cs-CZ"/>
        </w:rPr>
        <w:tab/>
      </w:r>
      <w:r>
        <w:rPr>
          <w:rFonts w:ascii="TeleGrotesk Headline Ultra" w:hAnsi="TeleGrotesk Headline Ultra"/>
          <w:b/>
          <w:spacing w:val="-4"/>
          <w:w w:val="95"/>
          <w:sz w:val="52"/>
          <w:szCs w:val="52"/>
          <w:lang w:val="cs-CZ"/>
        </w:rPr>
        <w:tab/>
      </w:r>
      <w:r>
        <w:rPr>
          <w:rFonts w:ascii="TeleGrotesk Headline Ultra" w:hAnsi="TeleGrotesk Headline Ultra"/>
          <w:b/>
          <w:spacing w:val="-4"/>
          <w:w w:val="95"/>
          <w:sz w:val="52"/>
          <w:szCs w:val="52"/>
          <w:lang w:val="cs-CZ"/>
        </w:rPr>
        <w:tab/>
      </w:r>
      <w:r w:rsidR="002337DD" w:rsidRPr="00677463">
        <w:rPr>
          <w:rFonts w:ascii="TeleGrotesk Headline Ultra" w:hAnsi="TeleGrotesk Headline Ultra"/>
          <w:b/>
          <w:spacing w:val="-4"/>
          <w:w w:val="95"/>
          <w:sz w:val="52"/>
          <w:szCs w:val="52"/>
          <w:lang w:val="cs-CZ"/>
        </w:rPr>
        <w:t xml:space="preserve">Výpověď </w:t>
      </w:r>
      <w:r w:rsidR="00934607" w:rsidRPr="00677463">
        <w:rPr>
          <w:rFonts w:ascii="TeleGrotesk Headline Ultra" w:hAnsi="TeleGrotesk Headline Ultra"/>
          <w:b/>
          <w:spacing w:val="-3"/>
          <w:w w:val="95"/>
          <w:sz w:val="52"/>
          <w:szCs w:val="52"/>
          <w:lang w:val="cs-CZ"/>
        </w:rPr>
        <w:t>Účastnické smlouvy</w:t>
      </w:r>
      <w:r w:rsidR="00105C18" w:rsidRPr="00677463">
        <w:rPr>
          <w:rFonts w:ascii="TeleGrotesk Headline Ultra" w:hAnsi="TeleGrotesk Headline Ultra"/>
          <w:b/>
          <w:spacing w:val="-3"/>
          <w:w w:val="95"/>
          <w:sz w:val="52"/>
          <w:szCs w:val="52"/>
          <w:lang w:val="cs-CZ"/>
        </w:rPr>
        <w:t xml:space="preserve"> </w:t>
      </w:r>
      <w:r w:rsidR="002337DD" w:rsidRPr="00677463">
        <w:rPr>
          <w:rFonts w:ascii="TeleGrotesk Headline Ultra" w:hAnsi="TeleGrotesk Headline Ultra"/>
          <w:b/>
          <w:w w:val="95"/>
          <w:sz w:val="52"/>
          <w:szCs w:val="52"/>
          <w:lang w:val="cs-CZ"/>
        </w:rPr>
        <w:t xml:space="preserve">– </w:t>
      </w:r>
    </w:p>
    <w:p w14:paraId="7799A57C" w14:textId="77777777" w:rsidR="00AD60C3" w:rsidRPr="00EC26BC" w:rsidRDefault="002337DD" w:rsidP="00677463">
      <w:pPr>
        <w:ind w:left="115"/>
        <w:jc w:val="right"/>
        <w:rPr>
          <w:rFonts w:ascii="Arial Narrow" w:hAnsi="Arial Narrow"/>
          <w:b/>
          <w:sz w:val="56"/>
          <w:lang w:val="cs-CZ"/>
        </w:rPr>
      </w:pPr>
      <w:r w:rsidRPr="00677463">
        <w:rPr>
          <w:rFonts w:ascii="TeleGrotesk Headline Ultra" w:hAnsi="TeleGrotesk Headline Ultra"/>
          <w:b/>
          <w:spacing w:val="-3"/>
          <w:w w:val="95"/>
          <w:sz w:val="52"/>
          <w:szCs w:val="52"/>
          <w:lang w:val="cs-CZ"/>
        </w:rPr>
        <w:t xml:space="preserve">Záruka </w:t>
      </w:r>
      <w:r w:rsidRPr="00677463">
        <w:rPr>
          <w:rFonts w:ascii="TeleGrotesk Headline Ultra" w:hAnsi="TeleGrotesk Headline Ultra"/>
          <w:b/>
          <w:spacing w:val="-5"/>
          <w:w w:val="95"/>
          <w:sz w:val="52"/>
          <w:szCs w:val="52"/>
          <w:lang w:val="cs-CZ"/>
        </w:rPr>
        <w:t>spokojenosti</w:t>
      </w:r>
    </w:p>
    <w:p w14:paraId="7799A57D" w14:textId="77777777" w:rsidR="00AD60C3" w:rsidRPr="002337DD" w:rsidRDefault="00AD60C3">
      <w:pPr>
        <w:pStyle w:val="BodyText"/>
        <w:rPr>
          <w:rFonts w:ascii="Arial Narrow"/>
          <w:b/>
          <w:sz w:val="20"/>
          <w:lang w:val="cs-CZ"/>
        </w:rPr>
      </w:pPr>
    </w:p>
    <w:p w14:paraId="7799A57E" w14:textId="77777777" w:rsidR="00AD60C3" w:rsidRDefault="00AD60C3">
      <w:pPr>
        <w:pStyle w:val="BodyText"/>
        <w:rPr>
          <w:rFonts w:ascii="Arial Narrow"/>
          <w:b/>
          <w:sz w:val="20"/>
          <w:lang w:val="cs-CZ"/>
        </w:rPr>
      </w:pPr>
    </w:p>
    <w:p w14:paraId="7799A57F" w14:textId="77777777" w:rsidR="00AD60C3" w:rsidRPr="002337DD" w:rsidRDefault="00AD60C3">
      <w:pPr>
        <w:pStyle w:val="BodyText"/>
        <w:spacing w:before="3"/>
        <w:rPr>
          <w:rFonts w:ascii="Arial Narrow"/>
          <w:b/>
          <w:sz w:val="21"/>
          <w:lang w:val="cs-CZ"/>
        </w:rPr>
      </w:pPr>
    </w:p>
    <w:p w14:paraId="7799A580" w14:textId="77777777" w:rsidR="00AD60C3" w:rsidRPr="006956C3" w:rsidRDefault="00677463" w:rsidP="006956C3">
      <w:pPr>
        <w:pStyle w:val="BodyText"/>
        <w:spacing w:before="77"/>
        <w:ind w:left="115"/>
        <w:rPr>
          <w:sz w:val="20"/>
          <w:szCs w:val="20"/>
          <w:lang w:val="cs-CZ"/>
        </w:rPr>
      </w:pPr>
      <w:r>
        <w:rPr>
          <w:color w:val="1D1D1B"/>
          <w:sz w:val="20"/>
          <w:szCs w:val="20"/>
          <w:lang w:val="cs-CZ"/>
        </w:rPr>
        <w:t>Účastník:</w:t>
      </w:r>
      <w:r>
        <w:rPr>
          <w:color w:val="1D1D1B"/>
          <w:sz w:val="20"/>
          <w:szCs w:val="20"/>
          <w:lang w:val="cs-CZ"/>
        </w:rPr>
        <w:tab/>
      </w:r>
      <w:r w:rsidR="00934607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4607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934607" w:rsidRPr="006956C3">
        <w:rPr>
          <w:color w:val="1D1D1B"/>
          <w:sz w:val="20"/>
          <w:szCs w:val="20"/>
          <w:lang w:val="cs-CZ"/>
        </w:rPr>
      </w:r>
      <w:r w:rsidR="00934607" w:rsidRPr="006956C3">
        <w:rPr>
          <w:color w:val="1D1D1B"/>
          <w:sz w:val="20"/>
          <w:szCs w:val="20"/>
          <w:lang w:val="cs-CZ"/>
        </w:rPr>
        <w:fldChar w:fldCharType="separate"/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color w:val="1D1D1B"/>
          <w:sz w:val="20"/>
          <w:szCs w:val="20"/>
          <w:lang w:val="cs-CZ"/>
        </w:rPr>
        <w:fldChar w:fldCharType="end"/>
      </w:r>
      <w:bookmarkEnd w:id="0"/>
    </w:p>
    <w:p w14:paraId="7799A581" w14:textId="77777777" w:rsidR="00E414CF" w:rsidRPr="006956C3" w:rsidRDefault="002337DD" w:rsidP="006956C3">
      <w:pPr>
        <w:pStyle w:val="BodyText"/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RČ</w:t>
      </w:r>
      <w:r w:rsidR="006956C3" w:rsidRPr="006956C3">
        <w:rPr>
          <w:rStyle w:val="FootnoteReference"/>
          <w:color w:val="1D1D1B"/>
          <w:sz w:val="20"/>
          <w:szCs w:val="20"/>
          <w:lang w:val="cs-CZ"/>
        </w:rPr>
        <w:footnoteReference w:id="1"/>
      </w:r>
      <w:r w:rsidRPr="006956C3">
        <w:rPr>
          <w:color w:val="1D1D1B"/>
          <w:sz w:val="20"/>
          <w:szCs w:val="20"/>
          <w:lang w:val="cs-CZ"/>
        </w:rPr>
        <w:t>/IČO:</w:t>
      </w:r>
      <w:r w:rsidR="00677463">
        <w:rPr>
          <w:color w:val="1D1D1B"/>
          <w:sz w:val="20"/>
          <w:szCs w:val="20"/>
          <w:lang w:val="cs-CZ"/>
        </w:rPr>
        <w:tab/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</w:p>
    <w:p w14:paraId="7799A582" w14:textId="77777777" w:rsidR="00AD60C3" w:rsidRPr="006956C3" w:rsidRDefault="00677463" w:rsidP="00E414CF">
      <w:pPr>
        <w:pStyle w:val="BodyText"/>
        <w:ind w:left="115"/>
        <w:rPr>
          <w:color w:val="1D1D1B"/>
          <w:sz w:val="20"/>
          <w:szCs w:val="20"/>
          <w:lang w:val="cs-CZ"/>
        </w:rPr>
      </w:pPr>
      <w:r>
        <w:rPr>
          <w:color w:val="1D1D1B"/>
          <w:sz w:val="20"/>
          <w:szCs w:val="20"/>
          <w:lang w:val="cs-CZ"/>
        </w:rPr>
        <w:t>Adresa:</w:t>
      </w:r>
      <w:r>
        <w:rPr>
          <w:color w:val="1D1D1B"/>
          <w:sz w:val="20"/>
          <w:szCs w:val="20"/>
          <w:lang w:val="cs-CZ"/>
        </w:rPr>
        <w:tab/>
      </w:r>
      <w:r>
        <w:rPr>
          <w:color w:val="1D1D1B"/>
          <w:sz w:val="20"/>
          <w:szCs w:val="20"/>
          <w:lang w:val="cs-CZ"/>
        </w:rPr>
        <w:tab/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</w:p>
    <w:p w14:paraId="7799A583" w14:textId="77777777" w:rsidR="00E414CF" w:rsidRPr="006956C3" w:rsidRDefault="00E414CF" w:rsidP="006956C3">
      <w:pPr>
        <w:pStyle w:val="BodyText"/>
        <w:rPr>
          <w:sz w:val="20"/>
          <w:szCs w:val="20"/>
          <w:lang w:val="cs-CZ"/>
        </w:rPr>
      </w:pPr>
    </w:p>
    <w:p w14:paraId="7799A584" w14:textId="77777777" w:rsidR="00AD60C3" w:rsidRPr="006956C3" w:rsidRDefault="002337DD">
      <w:pPr>
        <w:pStyle w:val="BodyText"/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Adresa pro doručení odpovědi na výpověď (pokud je odlišná od adresy Účastníka):</w:t>
      </w:r>
      <w:r w:rsidR="00934607" w:rsidRPr="006956C3">
        <w:rPr>
          <w:color w:val="1D1D1B"/>
          <w:sz w:val="20"/>
          <w:szCs w:val="20"/>
          <w:lang w:val="cs-CZ"/>
        </w:rPr>
        <w:t xml:space="preserve"> </w:t>
      </w:r>
      <w:r w:rsidR="00934607" w:rsidRPr="006956C3">
        <w:rPr>
          <w:color w:val="1D1D1B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4607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934607" w:rsidRPr="006956C3">
        <w:rPr>
          <w:color w:val="1D1D1B"/>
          <w:sz w:val="20"/>
          <w:szCs w:val="20"/>
          <w:lang w:val="cs-CZ"/>
        </w:rPr>
      </w:r>
      <w:r w:rsidR="00934607" w:rsidRPr="006956C3">
        <w:rPr>
          <w:color w:val="1D1D1B"/>
          <w:sz w:val="20"/>
          <w:szCs w:val="20"/>
          <w:lang w:val="cs-CZ"/>
        </w:rPr>
        <w:fldChar w:fldCharType="separate"/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noProof/>
          <w:color w:val="1D1D1B"/>
          <w:sz w:val="20"/>
          <w:szCs w:val="20"/>
          <w:lang w:val="cs-CZ"/>
        </w:rPr>
        <w:t> </w:t>
      </w:r>
      <w:r w:rsidR="00934607" w:rsidRPr="006956C3">
        <w:rPr>
          <w:color w:val="1D1D1B"/>
          <w:sz w:val="20"/>
          <w:szCs w:val="20"/>
          <w:lang w:val="cs-CZ"/>
        </w:rPr>
        <w:fldChar w:fldCharType="end"/>
      </w:r>
    </w:p>
    <w:p w14:paraId="7799A585" w14:textId="77777777" w:rsidR="00AD60C3" w:rsidRPr="006956C3" w:rsidRDefault="00AD60C3">
      <w:pPr>
        <w:pStyle w:val="BodyText"/>
        <w:spacing w:before="10"/>
        <w:rPr>
          <w:sz w:val="20"/>
          <w:szCs w:val="20"/>
          <w:lang w:val="cs-CZ"/>
        </w:rPr>
      </w:pPr>
    </w:p>
    <w:p w14:paraId="7799A586" w14:textId="77777777" w:rsidR="00AD60C3" w:rsidRPr="006956C3" w:rsidRDefault="002337DD">
      <w:pPr>
        <w:pStyle w:val="BodyText"/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Číslo účtu (pro případ vrácení peněz; nebude-li vyplněno, budou poukázány poštovní poukázkou):</w:t>
      </w:r>
      <w:r w:rsidR="00E414CF" w:rsidRPr="006956C3">
        <w:rPr>
          <w:color w:val="1D1D1B"/>
          <w:sz w:val="20"/>
          <w:szCs w:val="20"/>
          <w:lang w:val="cs-CZ"/>
        </w:rPr>
        <w:t xml:space="preserve"> </w:t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</w:p>
    <w:p w14:paraId="7799A587" w14:textId="77777777" w:rsidR="00AD60C3" w:rsidRPr="006956C3" w:rsidRDefault="00AD60C3">
      <w:pPr>
        <w:pStyle w:val="BodyText"/>
        <w:spacing w:before="10"/>
        <w:rPr>
          <w:sz w:val="20"/>
          <w:szCs w:val="20"/>
          <w:lang w:val="cs-CZ"/>
        </w:rPr>
      </w:pPr>
    </w:p>
    <w:p w14:paraId="7799A588" w14:textId="77777777" w:rsidR="00AD60C3" w:rsidRPr="006956C3" w:rsidRDefault="00E414CF" w:rsidP="006123F6">
      <w:pPr>
        <w:pStyle w:val="BodyText"/>
        <w:ind w:left="115"/>
        <w:jc w:val="both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 xml:space="preserve">Účastnická smlouva č. </w:t>
      </w:r>
      <w:r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Pr="006956C3">
        <w:rPr>
          <w:color w:val="1D1D1B"/>
          <w:sz w:val="20"/>
          <w:szCs w:val="20"/>
          <w:lang w:val="cs-CZ"/>
        </w:rPr>
      </w:r>
      <w:r w:rsidRPr="006956C3">
        <w:rPr>
          <w:color w:val="1D1D1B"/>
          <w:sz w:val="20"/>
          <w:szCs w:val="20"/>
          <w:lang w:val="cs-CZ"/>
        </w:rPr>
        <w:fldChar w:fldCharType="separate"/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noProof/>
          <w:color w:val="1D1D1B"/>
          <w:sz w:val="20"/>
          <w:szCs w:val="20"/>
          <w:lang w:val="cs-CZ"/>
        </w:rPr>
        <w:t> </w:t>
      </w:r>
      <w:r w:rsidRPr="006956C3">
        <w:rPr>
          <w:color w:val="1D1D1B"/>
          <w:sz w:val="20"/>
          <w:szCs w:val="20"/>
          <w:lang w:val="cs-CZ"/>
        </w:rPr>
        <w:fldChar w:fldCharType="end"/>
      </w:r>
      <w:r w:rsidR="002337DD" w:rsidRPr="006956C3">
        <w:rPr>
          <w:color w:val="1D1D1B"/>
          <w:sz w:val="20"/>
          <w:szCs w:val="20"/>
          <w:lang w:val="cs-CZ"/>
        </w:rPr>
        <w:t xml:space="preserve"> (součástí Účastnické smlouvy je i kupní smlouva na příslušné koncové zařízení). Účastník současně v rámci této výpovědi žádá o zrušení kupní smlouvy na příslušné koncové zařízení zakoupené k vypovídané slu</w:t>
      </w:r>
      <w:r w:rsidR="006956C3">
        <w:rPr>
          <w:color w:val="1D1D1B"/>
          <w:sz w:val="20"/>
          <w:szCs w:val="20"/>
          <w:lang w:val="cs-CZ"/>
        </w:rPr>
        <w:t>žbě, není-li dále uvedeno jinak</w:t>
      </w:r>
      <w:r w:rsidR="006956C3">
        <w:rPr>
          <w:rStyle w:val="FootnoteReference"/>
          <w:color w:val="1D1D1B"/>
          <w:sz w:val="20"/>
          <w:szCs w:val="20"/>
          <w:lang w:val="cs-CZ"/>
        </w:rPr>
        <w:footnoteReference w:id="2"/>
      </w:r>
      <w:r w:rsidR="002337DD" w:rsidRPr="006956C3">
        <w:rPr>
          <w:color w:val="1D1D1B"/>
          <w:sz w:val="20"/>
          <w:szCs w:val="20"/>
          <w:lang w:val="cs-CZ"/>
        </w:rPr>
        <w:t>.</w:t>
      </w:r>
      <w:r w:rsidR="00B00706">
        <w:rPr>
          <w:color w:val="1D1D1B"/>
          <w:sz w:val="20"/>
          <w:szCs w:val="20"/>
          <w:lang w:val="cs-CZ"/>
        </w:rPr>
        <w:t xml:space="preserve"> Bylo-li k vypovídané službě zakoupeno více koncových zařízení, žádá Účastník tímto o zrušení kupní smlouvy na všechna koncová zařízení zakoupená k vypovídané službě, není-li dále uvedeno jinak</w:t>
      </w:r>
      <w:r w:rsidR="00B00706">
        <w:rPr>
          <w:rStyle w:val="FootnoteReference"/>
          <w:color w:val="1D1D1B"/>
          <w:sz w:val="20"/>
          <w:szCs w:val="20"/>
          <w:lang w:val="cs-CZ"/>
        </w:rPr>
        <w:footnoteReference w:id="3"/>
      </w:r>
      <w:r w:rsidR="00B00706">
        <w:rPr>
          <w:color w:val="1D1D1B"/>
          <w:sz w:val="20"/>
          <w:szCs w:val="20"/>
          <w:lang w:val="cs-CZ"/>
        </w:rPr>
        <w:t>.</w:t>
      </w:r>
    </w:p>
    <w:p w14:paraId="7799A589" w14:textId="77777777" w:rsidR="00AD60C3" w:rsidRPr="006956C3" w:rsidRDefault="00AD60C3" w:rsidP="000A40F2">
      <w:pPr>
        <w:pStyle w:val="BodyText"/>
        <w:rPr>
          <w:sz w:val="20"/>
          <w:szCs w:val="20"/>
          <w:lang w:val="cs-CZ"/>
        </w:rPr>
      </w:pPr>
    </w:p>
    <w:p w14:paraId="7799A58A" w14:textId="77777777" w:rsidR="00AD60C3" w:rsidRPr="006956C3" w:rsidRDefault="00AD60C3">
      <w:pPr>
        <w:pStyle w:val="BodyText"/>
        <w:spacing w:before="9"/>
        <w:rPr>
          <w:sz w:val="20"/>
          <w:szCs w:val="20"/>
          <w:lang w:val="cs-CZ"/>
        </w:rPr>
      </w:pPr>
    </w:p>
    <w:p w14:paraId="7799A58B" w14:textId="77777777" w:rsidR="00AD60C3" w:rsidRPr="006956C3" w:rsidRDefault="002337DD">
      <w:pPr>
        <w:pStyle w:val="Heading1"/>
        <w:rPr>
          <w:rFonts w:ascii="Tele-GroteskEENor" w:hAnsi="Tele-GroteskEENor"/>
          <w:sz w:val="20"/>
          <w:szCs w:val="20"/>
          <w:lang w:val="cs-CZ"/>
        </w:rPr>
      </w:pPr>
      <w:r w:rsidRPr="006956C3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Účastn</w:t>
      </w:r>
      <w:r w:rsidR="006956C3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ík vypovídá následující službu</w:t>
      </w:r>
      <w:r w:rsidR="006956C3">
        <w:rPr>
          <w:rStyle w:val="FootnoteReference"/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footnoteReference w:id="4"/>
      </w:r>
      <w:r w:rsidRPr="006956C3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:</w:t>
      </w:r>
    </w:p>
    <w:p w14:paraId="17DCCE18" w14:textId="77777777" w:rsidR="00565E33" w:rsidRDefault="00EC26BC" w:rsidP="006956C3">
      <w:pPr>
        <w:pStyle w:val="BodyText"/>
        <w:spacing w:before="99" w:line="276" w:lineRule="auto"/>
        <w:ind w:left="142" w:right="8398"/>
        <w:rPr>
          <w:color w:val="1D1D1B"/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956C3">
        <w:rPr>
          <w:color w:val="1D1D1B"/>
          <w:sz w:val="20"/>
          <w:szCs w:val="20"/>
          <w:lang w:val="cs-CZ"/>
        </w:rPr>
        <w:instrText xml:space="preserve"> FORMCHECKBOX </w:instrText>
      </w:r>
      <w:r w:rsidR="00000000">
        <w:rPr>
          <w:color w:val="1D1D1B"/>
          <w:sz w:val="20"/>
          <w:szCs w:val="20"/>
          <w:lang w:val="cs-CZ"/>
        </w:rPr>
      </w:r>
      <w:r w:rsidR="00000000">
        <w:rPr>
          <w:color w:val="1D1D1B"/>
          <w:sz w:val="20"/>
          <w:szCs w:val="20"/>
          <w:lang w:val="cs-CZ"/>
        </w:rPr>
        <w:fldChar w:fldCharType="separate"/>
      </w:r>
      <w:r w:rsidRPr="006956C3">
        <w:rPr>
          <w:color w:val="1D1D1B"/>
          <w:sz w:val="20"/>
          <w:szCs w:val="20"/>
          <w:lang w:val="cs-CZ"/>
        </w:rPr>
        <w:fldChar w:fldCharType="end"/>
      </w:r>
      <w:bookmarkEnd w:id="1"/>
      <w:r w:rsidR="00A0355F">
        <w:rPr>
          <w:color w:val="1D1D1B"/>
          <w:sz w:val="20"/>
          <w:szCs w:val="20"/>
          <w:lang w:val="cs-CZ"/>
        </w:rPr>
        <w:t xml:space="preserve"> </w:t>
      </w:r>
      <w:r w:rsidR="001E4FEB">
        <w:rPr>
          <w:color w:val="1D1D1B"/>
          <w:sz w:val="20"/>
          <w:szCs w:val="20"/>
          <w:lang w:val="cs-CZ"/>
        </w:rPr>
        <w:t>MAGENTA</w:t>
      </w:r>
      <w:r w:rsidR="002337DD" w:rsidRPr="006956C3">
        <w:rPr>
          <w:color w:val="1D1D1B"/>
          <w:sz w:val="20"/>
          <w:szCs w:val="20"/>
          <w:lang w:val="cs-CZ"/>
        </w:rPr>
        <w:t xml:space="preserve"> TV</w:t>
      </w:r>
    </w:p>
    <w:p w14:paraId="4ADD926F" w14:textId="77777777" w:rsidR="00565E33" w:rsidRDefault="006742EC" w:rsidP="006956C3">
      <w:pPr>
        <w:pStyle w:val="BodyText"/>
        <w:spacing w:before="99" w:line="276" w:lineRule="auto"/>
        <w:ind w:left="142" w:right="8398"/>
        <w:rPr>
          <w:color w:val="1D1D1B"/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56C3">
        <w:rPr>
          <w:color w:val="1D1D1B"/>
          <w:sz w:val="20"/>
          <w:szCs w:val="20"/>
          <w:lang w:val="cs-CZ"/>
        </w:rPr>
        <w:instrText xml:space="preserve"> FORMCHECKBOX </w:instrText>
      </w:r>
      <w:r w:rsidR="00000000">
        <w:rPr>
          <w:color w:val="1D1D1B"/>
          <w:sz w:val="20"/>
          <w:szCs w:val="20"/>
          <w:lang w:val="cs-CZ"/>
        </w:rPr>
      </w:r>
      <w:r w:rsidR="00000000">
        <w:rPr>
          <w:color w:val="1D1D1B"/>
          <w:sz w:val="20"/>
          <w:szCs w:val="20"/>
          <w:lang w:val="cs-CZ"/>
        </w:rPr>
        <w:fldChar w:fldCharType="separate"/>
      </w:r>
      <w:r w:rsidRPr="006956C3">
        <w:rPr>
          <w:color w:val="1D1D1B"/>
          <w:sz w:val="20"/>
          <w:szCs w:val="20"/>
          <w:lang w:val="cs-CZ"/>
        </w:rPr>
        <w:fldChar w:fldCharType="end"/>
      </w:r>
      <w:r w:rsidRPr="006956C3">
        <w:rPr>
          <w:color w:val="1D1D1B"/>
          <w:sz w:val="20"/>
          <w:szCs w:val="20"/>
          <w:lang w:val="cs-CZ"/>
        </w:rPr>
        <w:t xml:space="preserve"> </w:t>
      </w:r>
      <w:r w:rsidR="00565E33">
        <w:rPr>
          <w:color w:val="1D1D1B"/>
          <w:sz w:val="20"/>
          <w:szCs w:val="20"/>
          <w:lang w:val="cs-CZ"/>
        </w:rPr>
        <w:t>Bezdrátový Internet</w:t>
      </w:r>
    </w:p>
    <w:p w14:paraId="7799A58D" w14:textId="31477C46" w:rsidR="00AD60C3" w:rsidRDefault="00565E33" w:rsidP="006956C3">
      <w:pPr>
        <w:pStyle w:val="BodyText"/>
        <w:spacing w:before="99" w:line="276" w:lineRule="auto"/>
        <w:ind w:left="142" w:right="8398"/>
        <w:rPr>
          <w:color w:val="1D1D1B"/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956C3">
        <w:rPr>
          <w:color w:val="1D1D1B"/>
          <w:sz w:val="20"/>
          <w:szCs w:val="20"/>
          <w:lang w:val="cs-CZ"/>
        </w:rPr>
        <w:instrText xml:space="preserve"> FORMCHECKBOX </w:instrText>
      </w:r>
      <w:r>
        <w:rPr>
          <w:color w:val="1D1D1B"/>
          <w:sz w:val="20"/>
          <w:szCs w:val="20"/>
          <w:lang w:val="cs-CZ"/>
        </w:rPr>
      </w:r>
      <w:r>
        <w:rPr>
          <w:color w:val="1D1D1B"/>
          <w:sz w:val="20"/>
          <w:szCs w:val="20"/>
          <w:lang w:val="cs-CZ"/>
        </w:rPr>
        <w:fldChar w:fldCharType="separate"/>
      </w:r>
      <w:r w:rsidRPr="006956C3">
        <w:rPr>
          <w:color w:val="1D1D1B"/>
          <w:sz w:val="20"/>
          <w:szCs w:val="20"/>
          <w:lang w:val="cs-CZ"/>
        </w:rPr>
        <w:fldChar w:fldCharType="end"/>
      </w:r>
      <w:bookmarkEnd w:id="2"/>
      <w:r w:rsidRPr="006956C3">
        <w:rPr>
          <w:color w:val="1D1D1B"/>
          <w:sz w:val="20"/>
          <w:szCs w:val="20"/>
          <w:lang w:val="cs-CZ"/>
        </w:rPr>
        <w:t xml:space="preserve"> Internet bez drátu</w:t>
      </w:r>
    </w:p>
    <w:p w14:paraId="7799A58E" w14:textId="77777777" w:rsidR="00AD60C3" w:rsidRDefault="00AD60C3">
      <w:pPr>
        <w:pStyle w:val="BodyText"/>
        <w:spacing w:before="4"/>
        <w:rPr>
          <w:sz w:val="20"/>
          <w:szCs w:val="20"/>
          <w:lang w:val="cs-CZ"/>
        </w:rPr>
      </w:pPr>
    </w:p>
    <w:p w14:paraId="0204B049" w14:textId="77777777" w:rsidR="00565E33" w:rsidRPr="006956C3" w:rsidRDefault="00565E33">
      <w:pPr>
        <w:pStyle w:val="BodyText"/>
        <w:spacing w:before="4"/>
        <w:rPr>
          <w:sz w:val="20"/>
          <w:szCs w:val="20"/>
          <w:lang w:val="cs-CZ"/>
        </w:rPr>
      </w:pPr>
    </w:p>
    <w:p w14:paraId="7799A58F" w14:textId="77777777" w:rsidR="00AD60C3" w:rsidRPr="006956C3" w:rsidRDefault="002337DD">
      <w:pPr>
        <w:pStyle w:val="Heading1"/>
        <w:rPr>
          <w:rFonts w:ascii="Tele-GroteskEENor" w:hAnsi="Tele-GroteskEENor"/>
          <w:sz w:val="20"/>
          <w:szCs w:val="20"/>
          <w:lang w:val="cs-CZ"/>
        </w:rPr>
      </w:pPr>
      <w:r w:rsidRPr="006956C3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Výpovědní důvod: Záruka spokojenost</w:t>
      </w:r>
      <w:r w:rsidRPr="006956C3">
        <w:rPr>
          <w:rFonts w:ascii="Tele-GroteskEENor" w:hAnsi="Tele-GroteskEENor"/>
          <w:color w:val="1D1D1B"/>
          <w:w w:val="90"/>
          <w:sz w:val="20"/>
          <w:szCs w:val="20"/>
          <w:lang w:val="cs-CZ"/>
        </w:rPr>
        <w:t>i</w:t>
      </w:r>
    </w:p>
    <w:p w14:paraId="7799A590" w14:textId="3BFE6DBF" w:rsidR="00AD60C3" w:rsidRPr="006956C3" w:rsidRDefault="00EC26BC" w:rsidP="001E4FEB">
      <w:pPr>
        <w:pStyle w:val="BodyText"/>
        <w:spacing w:before="98"/>
        <w:ind w:left="142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956C3">
        <w:rPr>
          <w:color w:val="1D1D1B"/>
          <w:sz w:val="20"/>
          <w:szCs w:val="20"/>
          <w:lang w:val="cs-CZ"/>
        </w:rPr>
        <w:instrText xml:space="preserve"> FORMCHECKBOX </w:instrText>
      </w:r>
      <w:r w:rsidR="00000000">
        <w:rPr>
          <w:color w:val="1D1D1B"/>
          <w:sz w:val="20"/>
          <w:szCs w:val="20"/>
          <w:lang w:val="cs-CZ"/>
        </w:rPr>
      </w:r>
      <w:r w:rsidR="00000000">
        <w:rPr>
          <w:color w:val="1D1D1B"/>
          <w:sz w:val="20"/>
          <w:szCs w:val="20"/>
          <w:lang w:val="cs-CZ"/>
        </w:rPr>
        <w:fldChar w:fldCharType="separate"/>
      </w:r>
      <w:r w:rsidRPr="006956C3">
        <w:rPr>
          <w:color w:val="1D1D1B"/>
          <w:sz w:val="20"/>
          <w:szCs w:val="20"/>
          <w:lang w:val="cs-CZ"/>
        </w:rPr>
        <w:fldChar w:fldCharType="end"/>
      </w:r>
      <w:bookmarkEnd w:id="3"/>
      <w:r w:rsidRPr="006956C3">
        <w:rPr>
          <w:color w:val="1D1D1B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Nežádám o zrušení kupní smlouvy na koncové</w:t>
      </w:r>
      <w:r w:rsidR="00B00706">
        <w:rPr>
          <w:color w:val="1D1D1B"/>
          <w:sz w:val="20"/>
          <w:szCs w:val="20"/>
          <w:lang w:val="cs-CZ"/>
        </w:rPr>
        <w:t>/á</w:t>
      </w:r>
      <w:r w:rsidR="002337DD" w:rsidRPr="006956C3">
        <w:rPr>
          <w:color w:val="1D1D1B"/>
          <w:sz w:val="20"/>
          <w:szCs w:val="20"/>
          <w:lang w:val="cs-CZ"/>
        </w:rPr>
        <w:t xml:space="preserve"> zařízení zakoupené</w:t>
      </w:r>
      <w:r w:rsidR="00B00706">
        <w:rPr>
          <w:color w:val="1D1D1B"/>
          <w:sz w:val="20"/>
          <w:szCs w:val="20"/>
          <w:lang w:val="cs-CZ"/>
        </w:rPr>
        <w:t>/á</w:t>
      </w:r>
      <w:r w:rsidR="002337DD" w:rsidRPr="006956C3">
        <w:rPr>
          <w:color w:val="1D1D1B"/>
          <w:sz w:val="20"/>
          <w:szCs w:val="20"/>
          <w:lang w:val="cs-CZ"/>
        </w:rPr>
        <w:t xml:space="preserve"> př</w:t>
      </w:r>
      <w:r w:rsidR="006956C3">
        <w:rPr>
          <w:color w:val="1D1D1B"/>
          <w:sz w:val="20"/>
          <w:szCs w:val="20"/>
          <w:lang w:val="cs-CZ"/>
        </w:rPr>
        <w:t>i uzavření Účastnické smlouvy</w:t>
      </w:r>
      <w:r w:rsidR="006956C3">
        <w:rPr>
          <w:rStyle w:val="FootnoteReference"/>
          <w:color w:val="1D1D1B"/>
          <w:sz w:val="20"/>
          <w:szCs w:val="20"/>
          <w:lang w:val="cs-CZ"/>
        </w:rPr>
        <w:footnoteReference w:id="5"/>
      </w:r>
    </w:p>
    <w:p w14:paraId="7799A591" w14:textId="77777777" w:rsidR="00AD60C3" w:rsidRPr="006956C3" w:rsidRDefault="00AD60C3">
      <w:pPr>
        <w:pStyle w:val="BodyText"/>
        <w:rPr>
          <w:sz w:val="20"/>
          <w:szCs w:val="20"/>
          <w:lang w:val="cs-CZ"/>
        </w:rPr>
      </w:pPr>
    </w:p>
    <w:p w14:paraId="7799A592" w14:textId="77777777" w:rsidR="00AD60C3" w:rsidRPr="006956C3" w:rsidRDefault="00AD60C3">
      <w:pPr>
        <w:pStyle w:val="BodyText"/>
        <w:spacing w:before="8"/>
        <w:rPr>
          <w:sz w:val="20"/>
          <w:szCs w:val="20"/>
          <w:lang w:val="cs-CZ"/>
        </w:rPr>
      </w:pPr>
    </w:p>
    <w:p w14:paraId="7799A593" w14:textId="77777777" w:rsidR="00AD60C3" w:rsidRPr="006956C3" w:rsidRDefault="002337DD">
      <w:pPr>
        <w:pStyle w:val="Heading1"/>
        <w:rPr>
          <w:rFonts w:ascii="Tele-GroteskEENor" w:hAnsi="Tele-GroteskEENor"/>
          <w:sz w:val="20"/>
          <w:szCs w:val="20"/>
          <w:lang w:val="cs-CZ"/>
        </w:rPr>
      </w:pPr>
      <w:r w:rsidRPr="006956C3">
        <w:rPr>
          <w:rFonts w:ascii="Tele-GroteskEENor" w:hAnsi="Tele-GroteskEENor"/>
          <w:color w:val="1D1D1B"/>
          <w:sz w:val="20"/>
          <w:szCs w:val="20"/>
          <w:lang w:val="cs-CZ"/>
        </w:rPr>
        <w:t>Příloha:</w:t>
      </w:r>
    </w:p>
    <w:p w14:paraId="7799A594" w14:textId="77777777" w:rsidR="00AD60C3" w:rsidRPr="006956C3" w:rsidRDefault="00223FBA" w:rsidP="006956C3">
      <w:pPr>
        <w:pStyle w:val="ListParagraph"/>
        <w:numPr>
          <w:ilvl w:val="0"/>
          <w:numId w:val="2"/>
        </w:numPr>
        <w:tabs>
          <w:tab w:val="left" w:pos="284"/>
        </w:tabs>
        <w:rPr>
          <w:sz w:val="20"/>
          <w:szCs w:val="20"/>
          <w:lang w:val="cs-CZ"/>
        </w:rPr>
      </w:pPr>
      <w:r>
        <w:rPr>
          <w:color w:val="1D1D1B"/>
          <w:sz w:val="20"/>
          <w:szCs w:val="20"/>
          <w:lang w:val="cs-CZ"/>
        </w:rPr>
        <w:t>K</w:t>
      </w:r>
      <w:r w:rsidR="002337DD" w:rsidRPr="006956C3">
        <w:rPr>
          <w:color w:val="1D1D1B"/>
          <w:sz w:val="20"/>
          <w:szCs w:val="20"/>
          <w:lang w:val="cs-CZ"/>
        </w:rPr>
        <w:t>oncové</w:t>
      </w:r>
      <w:r w:rsidR="00B00706">
        <w:rPr>
          <w:color w:val="1D1D1B"/>
          <w:sz w:val="20"/>
          <w:szCs w:val="20"/>
          <w:lang w:val="cs-CZ"/>
        </w:rPr>
        <w:t>/á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zařízení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zakoupené</w:t>
      </w:r>
      <w:r w:rsidR="00B00706">
        <w:rPr>
          <w:color w:val="1D1D1B"/>
          <w:sz w:val="20"/>
          <w:szCs w:val="20"/>
          <w:lang w:val="cs-CZ"/>
        </w:rPr>
        <w:t>/á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při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uzavření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Účastnické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smlouvy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s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veškerým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originálním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příslušenstvím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a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v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originálním</w:t>
      </w:r>
      <w:r w:rsidR="002337DD" w:rsidRPr="006956C3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obalu</w:t>
      </w:r>
    </w:p>
    <w:p w14:paraId="7799A595" w14:textId="77777777" w:rsidR="00AD60C3" w:rsidRPr="006956C3" w:rsidRDefault="00223FBA" w:rsidP="006956C3">
      <w:pPr>
        <w:pStyle w:val="ListParagraph"/>
        <w:numPr>
          <w:ilvl w:val="0"/>
          <w:numId w:val="2"/>
        </w:numPr>
        <w:tabs>
          <w:tab w:val="left" w:pos="284"/>
        </w:tabs>
        <w:spacing w:before="113"/>
        <w:rPr>
          <w:sz w:val="20"/>
          <w:szCs w:val="20"/>
          <w:lang w:val="cs-CZ"/>
        </w:rPr>
      </w:pPr>
      <w:r>
        <w:rPr>
          <w:color w:val="1D1D1B"/>
          <w:sz w:val="20"/>
          <w:szCs w:val="20"/>
          <w:lang w:val="cs-CZ"/>
        </w:rPr>
        <w:t>K</w:t>
      </w:r>
      <w:r w:rsidR="002337DD" w:rsidRPr="006956C3">
        <w:rPr>
          <w:color w:val="1D1D1B"/>
          <w:sz w:val="20"/>
          <w:szCs w:val="20"/>
          <w:lang w:val="cs-CZ"/>
        </w:rPr>
        <w:t>opie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daňového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dokladu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obdrženého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při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koupi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koncového</w:t>
      </w:r>
      <w:r w:rsidR="002337DD" w:rsidRPr="006956C3">
        <w:rPr>
          <w:color w:val="1D1D1B"/>
          <w:spacing w:val="-5"/>
          <w:sz w:val="20"/>
          <w:szCs w:val="20"/>
          <w:lang w:val="cs-CZ"/>
        </w:rPr>
        <w:t xml:space="preserve"> </w:t>
      </w:r>
      <w:r w:rsidR="002337DD" w:rsidRPr="006956C3">
        <w:rPr>
          <w:color w:val="1D1D1B"/>
          <w:sz w:val="20"/>
          <w:szCs w:val="20"/>
          <w:lang w:val="cs-CZ"/>
        </w:rPr>
        <w:t>zařízení</w:t>
      </w:r>
    </w:p>
    <w:p w14:paraId="7799A596" w14:textId="77777777" w:rsidR="00AD60C3" w:rsidRPr="006956C3" w:rsidRDefault="002337DD" w:rsidP="006956C3">
      <w:pPr>
        <w:pStyle w:val="ListParagraph"/>
        <w:numPr>
          <w:ilvl w:val="0"/>
          <w:numId w:val="2"/>
        </w:numPr>
        <w:tabs>
          <w:tab w:val="left" w:pos="284"/>
        </w:tabs>
        <w:spacing w:before="113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SIM karta s příslušenstvím</w:t>
      </w:r>
    </w:p>
    <w:p w14:paraId="7799A597" w14:textId="77777777" w:rsidR="00AD60C3" w:rsidRPr="006956C3" w:rsidRDefault="00AD60C3">
      <w:pPr>
        <w:pStyle w:val="BodyText"/>
        <w:rPr>
          <w:sz w:val="20"/>
          <w:szCs w:val="20"/>
          <w:lang w:val="cs-CZ"/>
        </w:rPr>
      </w:pPr>
    </w:p>
    <w:p w14:paraId="7799A598" w14:textId="77777777" w:rsidR="00AD60C3" w:rsidRPr="006956C3" w:rsidRDefault="00AD60C3">
      <w:pPr>
        <w:pStyle w:val="BodyText"/>
        <w:rPr>
          <w:sz w:val="20"/>
          <w:szCs w:val="20"/>
          <w:lang w:val="cs-CZ"/>
        </w:rPr>
      </w:pPr>
    </w:p>
    <w:p w14:paraId="7799A599" w14:textId="77777777" w:rsidR="00AD60C3" w:rsidRPr="006956C3" w:rsidRDefault="00AD60C3">
      <w:pPr>
        <w:pStyle w:val="BodyText"/>
        <w:spacing w:before="4"/>
        <w:rPr>
          <w:sz w:val="20"/>
          <w:szCs w:val="20"/>
          <w:lang w:val="cs-CZ"/>
        </w:rPr>
      </w:pPr>
    </w:p>
    <w:p w14:paraId="7799A59A" w14:textId="77777777" w:rsidR="00861A03" w:rsidRPr="00861A03" w:rsidRDefault="002337DD" w:rsidP="00861A03">
      <w:pPr>
        <w:pStyle w:val="BodyText"/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 xml:space="preserve">V </w:t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  <w:r w:rsidR="00861A03">
        <w:rPr>
          <w:sz w:val="20"/>
          <w:szCs w:val="20"/>
          <w:lang w:val="cs-CZ"/>
        </w:rPr>
        <w:tab/>
      </w:r>
      <w:r w:rsidR="00861A03">
        <w:rPr>
          <w:sz w:val="20"/>
          <w:szCs w:val="20"/>
          <w:lang w:val="cs-CZ"/>
        </w:rPr>
        <w:tab/>
      </w:r>
      <w:r w:rsidRPr="006956C3">
        <w:rPr>
          <w:color w:val="1D1D1B"/>
          <w:sz w:val="20"/>
          <w:szCs w:val="20"/>
          <w:lang w:val="cs-CZ"/>
        </w:rPr>
        <w:t>Dne</w:t>
      </w:r>
      <w:r w:rsidRPr="006956C3">
        <w:rPr>
          <w:color w:val="1D1D1B"/>
          <w:spacing w:val="-2"/>
          <w:sz w:val="20"/>
          <w:szCs w:val="20"/>
          <w:lang w:val="cs-CZ"/>
        </w:rPr>
        <w:t xml:space="preserve"> </w:t>
      </w:r>
      <w:r w:rsidR="00E414CF" w:rsidRPr="006956C3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6956C3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6956C3">
        <w:rPr>
          <w:color w:val="1D1D1B"/>
          <w:sz w:val="20"/>
          <w:szCs w:val="20"/>
          <w:lang w:val="cs-CZ"/>
        </w:rPr>
      </w:r>
      <w:r w:rsidR="00E414CF" w:rsidRPr="006956C3">
        <w:rPr>
          <w:color w:val="1D1D1B"/>
          <w:sz w:val="20"/>
          <w:szCs w:val="20"/>
          <w:lang w:val="cs-CZ"/>
        </w:rPr>
        <w:fldChar w:fldCharType="separate"/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noProof/>
          <w:color w:val="1D1D1B"/>
          <w:sz w:val="20"/>
          <w:szCs w:val="20"/>
          <w:lang w:val="cs-CZ"/>
        </w:rPr>
        <w:t> </w:t>
      </w:r>
      <w:r w:rsidR="00E414CF" w:rsidRPr="006956C3">
        <w:rPr>
          <w:color w:val="1D1D1B"/>
          <w:sz w:val="20"/>
          <w:szCs w:val="20"/>
          <w:lang w:val="cs-CZ"/>
        </w:rPr>
        <w:fldChar w:fldCharType="end"/>
      </w:r>
    </w:p>
    <w:p w14:paraId="7799A59B" w14:textId="77777777"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7799A59C" w14:textId="77777777"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  <w:r>
        <w:rPr>
          <w:noProof/>
          <w:color w:val="1D1D1B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A5A6" wp14:editId="7799A5A7">
                <wp:simplePos x="0" y="0"/>
                <wp:positionH relativeFrom="column">
                  <wp:posOffset>60960</wp:posOffset>
                </wp:positionH>
                <wp:positionV relativeFrom="paragraph">
                  <wp:posOffset>5715</wp:posOffset>
                </wp:positionV>
                <wp:extent cx="2608028" cy="652007"/>
                <wp:effectExtent l="0" t="0" r="2095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9A5B1" w14:textId="77777777" w:rsidR="00861A03" w:rsidRDefault="00861A03"/>
                          <w:p w14:paraId="7799A5B2" w14:textId="77777777" w:rsidR="00861A03" w:rsidRDefault="00861A03"/>
                          <w:p w14:paraId="7799A5B3" w14:textId="77777777" w:rsidR="00861A03" w:rsidRDefault="00861A03"/>
                          <w:p w14:paraId="7799A5B4" w14:textId="77777777" w:rsidR="00861A03" w:rsidRDefault="00861A03"/>
                          <w:p w14:paraId="7799A5B5" w14:textId="77777777" w:rsidR="00861A03" w:rsidRDefault="00861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9A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.45pt;width:205.35pt;height:5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" fillcolor="white [3201]" strokecolor="#d8d8d8 [2732]" strokeweight=".5pt">
                <v:textbox>
                  <w:txbxContent>
                    <w:p w14:paraId="7799A5B1" w14:textId="77777777" w:rsidR="00861A03" w:rsidRDefault="00861A03"/>
                    <w:p w14:paraId="7799A5B2" w14:textId="77777777" w:rsidR="00861A03" w:rsidRDefault="00861A03"/>
                    <w:p w14:paraId="7799A5B3" w14:textId="77777777" w:rsidR="00861A03" w:rsidRDefault="00861A03"/>
                    <w:p w14:paraId="7799A5B4" w14:textId="77777777" w:rsidR="00861A03" w:rsidRDefault="00861A03"/>
                    <w:p w14:paraId="7799A5B5" w14:textId="77777777" w:rsidR="00861A03" w:rsidRDefault="00861A03"/>
                  </w:txbxContent>
                </v:textbox>
              </v:shape>
            </w:pict>
          </mc:Fallback>
        </mc:AlternateContent>
      </w:r>
    </w:p>
    <w:p w14:paraId="7799A59D" w14:textId="77777777"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7799A59E" w14:textId="77777777"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7799A59F" w14:textId="77777777"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7799A5A0" w14:textId="77777777" w:rsidR="00861A03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7799A5A1" w14:textId="77777777" w:rsidR="00AD60C3" w:rsidRPr="006956C3" w:rsidRDefault="002337DD" w:rsidP="00E414CF">
      <w:pPr>
        <w:pStyle w:val="BodyText"/>
        <w:tabs>
          <w:tab w:val="left" w:pos="5679"/>
        </w:tabs>
        <w:ind w:left="115"/>
        <w:rPr>
          <w:sz w:val="20"/>
          <w:szCs w:val="20"/>
          <w:lang w:val="cs-CZ"/>
        </w:rPr>
      </w:pPr>
      <w:r w:rsidRPr="006956C3">
        <w:rPr>
          <w:color w:val="1D1D1B"/>
          <w:sz w:val="20"/>
          <w:szCs w:val="20"/>
          <w:lang w:val="cs-CZ"/>
        </w:rPr>
        <w:t>(podpis Účastníka)</w:t>
      </w:r>
    </w:p>
    <w:p w14:paraId="7799A5A2" w14:textId="77777777" w:rsidR="00AD60C3" w:rsidRPr="002337DD" w:rsidRDefault="00AD60C3">
      <w:pPr>
        <w:pStyle w:val="BodyText"/>
        <w:rPr>
          <w:sz w:val="20"/>
          <w:lang w:val="cs-CZ"/>
        </w:rPr>
      </w:pPr>
    </w:p>
    <w:p w14:paraId="7799A5A3" w14:textId="77777777" w:rsidR="00AD60C3" w:rsidRPr="002337DD" w:rsidRDefault="00AD60C3">
      <w:pPr>
        <w:pStyle w:val="BodyText"/>
        <w:spacing w:before="9"/>
        <w:rPr>
          <w:sz w:val="19"/>
          <w:lang w:val="cs-CZ"/>
        </w:rPr>
      </w:pPr>
    </w:p>
    <w:sectPr w:rsidR="00AD60C3" w:rsidRPr="002337DD">
      <w:type w:val="continuous"/>
      <w:pgSz w:w="11910" w:h="16840"/>
      <w:pgMar w:top="880" w:right="4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BC91" w14:textId="77777777" w:rsidR="00B36183" w:rsidRDefault="00B36183" w:rsidP="006956C3">
      <w:r>
        <w:separator/>
      </w:r>
    </w:p>
  </w:endnote>
  <w:endnote w:type="continuationSeparator" w:id="0">
    <w:p w14:paraId="35D59F72" w14:textId="77777777" w:rsidR="00B36183" w:rsidRDefault="00B36183" w:rsidP="0069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-GroteskEENor">
    <w:altName w:val="Calibri"/>
    <w:charset w:val="EE"/>
    <w:family w:val="auto"/>
    <w:pitch w:val="variable"/>
    <w:sig w:usb0="00000001" w:usb1="00002048" w:usb2="00000000" w:usb3="00000000" w:csb0="00000083" w:csb1="00000000"/>
    <w:embedRegular r:id="rId1" w:fontKey="{767D5230-0662-4CBA-BD65-1803F067B3DD}"/>
    <w:embedBold r:id="rId2" w:fontKey="{59046165-CF2C-4D0C-AFDD-B08E19B28954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Grotesk Headline Ultra">
    <w:charset w:val="EE"/>
    <w:family w:val="auto"/>
    <w:pitch w:val="variable"/>
    <w:sig w:usb0="A000022F" w:usb1="0000204A" w:usb2="00000000" w:usb3="00000000" w:csb0="00000097" w:csb1="00000000"/>
    <w:embedBold r:id="rId3" w:subsetted="1" w:fontKey="{E9D8530E-75B9-489C-BF5B-9019885FC529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0CCF" w14:textId="77777777" w:rsidR="00B36183" w:rsidRDefault="00B36183" w:rsidP="006956C3">
      <w:r>
        <w:separator/>
      </w:r>
    </w:p>
  </w:footnote>
  <w:footnote w:type="continuationSeparator" w:id="0">
    <w:p w14:paraId="6D8F8E87" w14:textId="77777777" w:rsidR="00B36183" w:rsidRDefault="00B36183" w:rsidP="006956C3">
      <w:r>
        <w:continuationSeparator/>
      </w:r>
    </w:p>
  </w:footnote>
  <w:footnote w:id="1">
    <w:p w14:paraId="7799A5AC" w14:textId="77777777" w:rsidR="006956C3" w:rsidRPr="00861A03" w:rsidRDefault="006956C3" w:rsidP="00B00706">
      <w:pPr>
        <w:ind w:right="62"/>
        <w:rPr>
          <w:sz w:val="16"/>
          <w:szCs w:val="16"/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Pr="006956C3">
        <w:rPr>
          <w:sz w:val="16"/>
          <w:szCs w:val="16"/>
          <w:lang w:val="cs-CZ"/>
        </w:rPr>
        <w:t>RČ uveďte pouze u fyzických osob.</w:t>
      </w:r>
    </w:p>
  </w:footnote>
  <w:footnote w:id="2">
    <w:p w14:paraId="7799A5AD" w14:textId="1DB9D65A" w:rsidR="006956C3" w:rsidRPr="006956C3" w:rsidRDefault="006956C3" w:rsidP="00B00706">
      <w:pPr>
        <w:spacing w:before="120"/>
        <w:ind w:right="62"/>
        <w:rPr>
          <w:sz w:val="16"/>
          <w:szCs w:val="16"/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Pr="006956C3">
        <w:rPr>
          <w:sz w:val="16"/>
          <w:szCs w:val="16"/>
          <w:lang w:val="cs-CZ"/>
        </w:rPr>
        <w:t>U koncového zařízení zakoupeného na splátky dojde v případě akceptace výpovědi a zrušení kupní smlouvy na koncové zařízení rovněž k automatickému zrušení sjednaného splátkového kalendáře na úhradu tohoto koncového zařízení.</w:t>
      </w:r>
      <w:r w:rsidR="000B7794">
        <w:rPr>
          <w:sz w:val="16"/>
          <w:szCs w:val="16"/>
          <w:lang w:val="cs-CZ"/>
        </w:rPr>
        <w:br/>
      </w:r>
    </w:p>
  </w:footnote>
  <w:footnote w:id="3">
    <w:p w14:paraId="7799A5AE" w14:textId="77777777" w:rsidR="00B00706" w:rsidRPr="00B00706" w:rsidRDefault="00B00706">
      <w:pPr>
        <w:pStyle w:val="FootnoteText"/>
        <w:rPr>
          <w:lang w:val="cs-CZ"/>
        </w:rPr>
      </w:pPr>
      <w:r w:rsidRPr="000B7794">
        <w:rPr>
          <w:rStyle w:val="FootnoteReference"/>
          <w:sz w:val="16"/>
          <w:szCs w:val="16"/>
          <w:vertAlign w:val="baseline"/>
        </w:rPr>
        <w:footnoteRef/>
      </w:r>
      <w:r w:rsidRPr="000B7794">
        <w:rPr>
          <w:sz w:val="16"/>
          <w:szCs w:val="16"/>
          <w:lang w:val="cs-CZ"/>
        </w:rPr>
        <w:t xml:space="preserve"> </w:t>
      </w:r>
      <w:r>
        <w:rPr>
          <w:sz w:val="16"/>
          <w:szCs w:val="16"/>
          <w:lang w:val="cs-CZ"/>
        </w:rPr>
        <w:t>U koncových zařízení zakoupených</w:t>
      </w:r>
      <w:r w:rsidRPr="006956C3">
        <w:rPr>
          <w:sz w:val="16"/>
          <w:szCs w:val="16"/>
          <w:lang w:val="cs-CZ"/>
        </w:rPr>
        <w:t xml:space="preserve"> na splátky dojde v případě akceptace výpovědi a zrušení kupní</w:t>
      </w:r>
      <w:r>
        <w:rPr>
          <w:sz w:val="16"/>
          <w:szCs w:val="16"/>
          <w:lang w:val="cs-CZ"/>
        </w:rPr>
        <w:t>ch smluv na koncová</w:t>
      </w:r>
      <w:r w:rsidRPr="006956C3">
        <w:rPr>
          <w:sz w:val="16"/>
          <w:szCs w:val="16"/>
          <w:lang w:val="cs-CZ"/>
        </w:rPr>
        <w:t xml:space="preserve"> zařízení rovněž k </w:t>
      </w:r>
      <w:r>
        <w:rPr>
          <w:sz w:val="16"/>
          <w:szCs w:val="16"/>
          <w:lang w:val="cs-CZ"/>
        </w:rPr>
        <w:t>automatickému zrušení sjednaných splátkových kalendářů na úhradu těchto koncových</w:t>
      </w:r>
      <w:r w:rsidRPr="006956C3">
        <w:rPr>
          <w:sz w:val="16"/>
          <w:szCs w:val="16"/>
          <w:lang w:val="cs-CZ"/>
        </w:rPr>
        <w:t xml:space="preserve"> zařízení</w:t>
      </w:r>
      <w:r>
        <w:rPr>
          <w:sz w:val="16"/>
          <w:szCs w:val="16"/>
          <w:lang w:val="cs-CZ"/>
        </w:rPr>
        <w:t>.</w:t>
      </w:r>
    </w:p>
  </w:footnote>
  <w:footnote w:id="4">
    <w:p w14:paraId="7799A5AF" w14:textId="77777777" w:rsidR="006956C3" w:rsidRPr="00861A03" w:rsidRDefault="006956C3" w:rsidP="00B00706">
      <w:pPr>
        <w:spacing w:before="120"/>
        <w:ind w:right="62"/>
        <w:rPr>
          <w:sz w:val="16"/>
          <w:szCs w:val="16"/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="00223FBA">
        <w:rPr>
          <w:sz w:val="16"/>
          <w:szCs w:val="16"/>
          <w:lang w:val="cs-CZ"/>
        </w:rPr>
        <w:t>Vyplnění</w:t>
      </w:r>
      <w:r w:rsidRPr="006956C3">
        <w:rPr>
          <w:sz w:val="16"/>
          <w:szCs w:val="16"/>
          <w:lang w:val="cs-CZ"/>
        </w:rPr>
        <w:t xml:space="preserve"> této části je povinné, zaškrtnutím příslušného políčka zvolíte službu, kterou chcete vypovědět.</w:t>
      </w:r>
    </w:p>
  </w:footnote>
  <w:footnote w:id="5">
    <w:p w14:paraId="7799A5B0" w14:textId="77777777" w:rsidR="006956C3" w:rsidRPr="006956C3" w:rsidRDefault="006956C3" w:rsidP="00B00706">
      <w:pPr>
        <w:spacing w:before="120"/>
        <w:ind w:right="62"/>
        <w:rPr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Pr="006956C3">
        <w:rPr>
          <w:sz w:val="16"/>
          <w:szCs w:val="16"/>
          <w:lang w:val="cs-CZ"/>
        </w:rPr>
        <w:t>Této možnosti (formou jejího zaškrtnutí) může využít pouze ten účastník, který zakoupil koncové zařízení k vypovídané službě za plnou cenu, jež byla v plné výši uhrazena př</w:t>
      </w:r>
      <w:r w:rsidR="00861A03">
        <w:rPr>
          <w:sz w:val="16"/>
          <w:szCs w:val="16"/>
          <w:lang w:val="cs-CZ"/>
        </w:rPr>
        <w:t xml:space="preserve">i koupi koncového zařízení (tzn. </w:t>
      </w:r>
      <w:r w:rsidRPr="006956C3">
        <w:rPr>
          <w:sz w:val="16"/>
          <w:szCs w:val="16"/>
          <w:lang w:val="cs-CZ"/>
        </w:rPr>
        <w:t>netýká se koncového zařízení zakoupeného na splátky). V případě oprávněného využití této možnosti není přílohou této výpovědi koncové zařízení zakoupené při uzavření Účastnické smlouvy.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7C0F"/>
    <w:multiLevelType w:val="hybridMultilevel"/>
    <w:tmpl w:val="36E693F6"/>
    <w:lvl w:ilvl="0" w:tplc="04050005">
      <w:start w:val="1"/>
      <w:numFmt w:val="bullet"/>
      <w:lvlText w:val=""/>
      <w:lvlJc w:val="left"/>
      <w:pPr>
        <w:ind w:left="185" w:hanging="71"/>
      </w:pPr>
      <w:rPr>
        <w:rFonts w:ascii="Wingdings" w:hAnsi="Wingdings" w:hint="default"/>
        <w:color w:val="1D1D1B"/>
        <w:w w:val="100"/>
        <w:sz w:val="18"/>
        <w:szCs w:val="18"/>
      </w:rPr>
    </w:lvl>
    <w:lvl w:ilvl="1" w:tplc="C5BC7256">
      <w:numFmt w:val="bullet"/>
      <w:lvlText w:val="•"/>
      <w:lvlJc w:val="left"/>
      <w:pPr>
        <w:ind w:left="1256" w:hanging="71"/>
      </w:pPr>
      <w:rPr>
        <w:rFonts w:hint="default"/>
      </w:rPr>
    </w:lvl>
    <w:lvl w:ilvl="2" w:tplc="ABA0C120">
      <w:numFmt w:val="bullet"/>
      <w:lvlText w:val="•"/>
      <w:lvlJc w:val="left"/>
      <w:pPr>
        <w:ind w:left="2333" w:hanging="71"/>
      </w:pPr>
      <w:rPr>
        <w:rFonts w:hint="default"/>
      </w:rPr>
    </w:lvl>
    <w:lvl w:ilvl="3" w:tplc="7A4E7346">
      <w:numFmt w:val="bullet"/>
      <w:lvlText w:val="•"/>
      <w:lvlJc w:val="left"/>
      <w:pPr>
        <w:ind w:left="3409" w:hanging="71"/>
      </w:pPr>
      <w:rPr>
        <w:rFonts w:hint="default"/>
      </w:rPr>
    </w:lvl>
    <w:lvl w:ilvl="4" w:tplc="DE0AB43A">
      <w:numFmt w:val="bullet"/>
      <w:lvlText w:val="•"/>
      <w:lvlJc w:val="left"/>
      <w:pPr>
        <w:ind w:left="4486" w:hanging="71"/>
      </w:pPr>
      <w:rPr>
        <w:rFonts w:hint="default"/>
      </w:rPr>
    </w:lvl>
    <w:lvl w:ilvl="5" w:tplc="BDD67216">
      <w:numFmt w:val="bullet"/>
      <w:lvlText w:val="•"/>
      <w:lvlJc w:val="left"/>
      <w:pPr>
        <w:ind w:left="5562" w:hanging="71"/>
      </w:pPr>
      <w:rPr>
        <w:rFonts w:hint="default"/>
      </w:rPr>
    </w:lvl>
    <w:lvl w:ilvl="6" w:tplc="275658A4">
      <w:numFmt w:val="bullet"/>
      <w:lvlText w:val="•"/>
      <w:lvlJc w:val="left"/>
      <w:pPr>
        <w:ind w:left="6639" w:hanging="71"/>
      </w:pPr>
      <w:rPr>
        <w:rFonts w:hint="default"/>
      </w:rPr>
    </w:lvl>
    <w:lvl w:ilvl="7" w:tplc="1C7E5B96">
      <w:numFmt w:val="bullet"/>
      <w:lvlText w:val="•"/>
      <w:lvlJc w:val="left"/>
      <w:pPr>
        <w:ind w:left="7715" w:hanging="71"/>
      </w:pPr>
      <w:rPr>
        <w:rFonts w:hint="default"/>
      </w:rPr>
    </w:lvl>
    <w:lvl w:ilvl="8" w:tplc="14BCED7C">
      <w:numFmt w:val="bullet"/>
      <w:lvlText w:val="•"/>
      <w:lvlJc w:val="left"/>
      <w:pPr>
        <w:ind w:left="8792" w:hanging="71"/>
      </w:pPr>
      <w:rPr>
        <w:rFonts w:hint="default"/>
      </w:rPr>
    </w:lvl>
  </w:abstractNum>
  <w:abstractNum w:abstractNumId="1" w15:restartNumberingAfterBreak="0">
    <w:nsid w:val="4CF630CC"/>
    <w:multiLevelType w:val="hybridMultilevel"/>
    <w:tmpl w:val="8ABCCD1C"/>
    <w:lvl w:ilvl="0" w:tplc="4F281206">
      <w:numFmt w:val="bullet"/>
      <w:lvlText w:val="-"/>
      <w:lvlJc w:val="left"/>
      <w:pPr>
        <w:ind w:left="185" w:hanging="71"/>
      </w:pPr>
      <w:rPr>
        <w:rFonts w:ascii="Tele-GroteskEENor" w:eastAsia="Tele-GroteskEENor" w:hAnsi="Tele-GroteskEENor" w:cs="Tele-GroteskEENor" w:hint="default"/>
        <w:color w:val="1D1D1B"/>
        <w:w w:val="100"/>
        <w:sz w:val="18"/>
        <w:szCs w:val="18"/>
      </w:rPr>
    </w:lvl>
    <w:lvl w:ilvl="1" w:tplc="C5BC7256">
      <w:numFmt w:val="bullet"/>
      <w:lvlText w:val="•"/>
      <w:lvlJc w:val="left"/>
      <w:pPr>
        <w:ind w:left="1256" w:hanging="71"/>
      </w:pPr>
      <w:rPr>
        <w:rFonts w:hint="default"/>
      </w:rPr>
    </w:lvl>
    <w:lvl w:ilvl="2" w:tplc="ABA0C120">
      <w:numFmt w:val="bullet"/>
      <w:lvlText w:val="•"/>
      <w:lvlJc w:val="left"/>
      <w:pPr>
        <w:ind w:left="2333" w:hanging="71"/>
      </w:pPr>
      <w:rPr>
        <w:rFonts w:hint="default"/>
      </w:rPr>
    </w:lvl>
    <w:lvl w:ilvl="3" w:tplc="7A4E7346">
      <w:numFmt w:val="bullet"/>
      <w:lvlText w:val="•"/>
      <w:lvlJc w:val="left"/>
      <w:pPr>
        <w:ind w:left="3409" w:hanging="71"/>
      </w:pPr>
      <w:rPr>
        <w:rFonts w:hint="default"/>
      </w:rPr>
    </w:lvl>
    <w:lvl w:ilvl="4" w:tplc="DE0AB43A">
      <w:numFmt w:val="bullet"/>
      <w:lvlText w:val="•"/>
      <w:lvlJc w:val="left"/>
      <w:pPr>
        <w:ind w:left="4486" w:hanging="71"/>
      </w:pPr>
      <w:rPr>
        <w:rFonts w:hint="default"/>
      </w:rPr>
    </w:lvl>
    <w:lvl w:ilvl="5" w:tplc="BDD67216">
      <w:numFmt w:val="bullet"/>
      <w:lvlText w:val="•"/>
      <w:lvlJc w:val="left"/>
      <w:pPr>
        <w:ind w:left="5562" w:hanging="71"/>
      </w:pPr>
      <w:rPr>
        <w:rFonts w:hint="default"/>
      </w:rPr>
    </w:lvl>
    <w:lvl w:ilvl="6" w:tplc="275658A4">
      <w:numFmt w:val="bullet"/>
      <w:lvlText w:val="•"/>
      <w:lvlJc w:val="left"/>
      <w:pPr>
        <w:ind w:left="6639" w:hanging="71"/>
      </w:pPr>
      <w:rPr>
        <w:rFonts w:hint="default"/>
      </w:rPr>
    </w:lvl>
    <w:lvl w:ilvl="7" w:tplc="1C7E5B96">
      <w:numFmt w:val="bullet"/>
      <w:lvlText w:val="•"/>
      <w:lvlJc w:val="left"/>
      <w:pPr>
        <w:ind w:left="7715" w:hanging="71"/>
      </w:pPr>
      <w:rPr>
        <w:rFonts w:hint="default"/>
      </w:rPr>
    </w:lvl>
    <w:lvl w:ilvl="8" w:tplc="14BCED7C">
      <w:numFmt w:val="bullet"/>
      <w:lvlText w:val="•"/>
      <w:lvlJc w:val="left"/>
      <w:pPr>
        <w:ind w:left="8792" w:hanging="71"/>
      </w:pPr>
      <w:rPr>
        <w:rFonts w:hint="default"/>
      </w:rPr>
    </w:lvl>
  </w:abstractNum>
  <w:num w:numId="1" w16cid:durableId="682049518">
    <w:abstractNumId w:val="1"/>
  </w:num>
  <w:num w:numId="2" w16cid:durableId="191766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TrueTypeFonts/>
  <w:saveSubsetFonts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C3"/>
    <w:rsid w:val="00041E4F"/>
    <w:rsid w:val="000A40F2"/>
    <w:rsid w:val="000B7794"/>
    <w:rsid w:val="00101ECA"/>
    <w:rsid w:val="00105C18"/>
    <w:rsid w:val="00121D63"/>
    <w:rsid w:val="001E4FEB"/>
    <w:rsid w:val="002007B1"/>
    <w:rsid w:val="00223FBA"/>
    <w:rsid w:val="002337DD"/>
    <w:rsid w:val="00371A69"/>
    <w:rsid w:val="004614D9"/>
    <w:rsid w:val="004C5D8E"/>
    <w:rsid w:val="00565E33"/>
    <w:rsid w:val="005F00A8"/>
    <w:rsid w:val="00602202"/>
    <w:rsid w:val="006050CC"/>
    <w:rsid w:val="006123F6"/>
    <w:rsid w:val="006742EC"/>
    <w:rsid w:val="00677463"/>
    <w:rsid w:val="006956C3"/>
    <w:rsid w:val="006F7967"/>
    <w:rsid w:val="007943F4"/>
    <w:rsid w:val="007F3211"/>
    <w:rsid w:val="00861A03"/>
    <w:rsid w:val="00873BFC"/>
    <w:rsid w:val="008E6AC0"/>
    <w:rsid w:val="00934607"/>
    <w:rsid w:val="009F52AC"/>
    <w:rsid w:val="00A0355F"/>
    <w:rsid w:val="00A62132"/>
    <w:rsid w:val="00AC00C3"/>
    <w:rsid w:val="00AD60C3"/>
    <w:rsid w:val="00B00706"/>
    <w:rsid w:val="00B32C97"/>
    <w:rsid w:val="00B36183"/>
    <w:rsid w:val="00B914D9"/>
    <w:rsid w:val="00B919C2"/>
    <w:rsid w:val="00BE142C"/>
    <w:rsid w:val="00CA31AC"/>
    <w:rsid w:val="00CE0F10"/>
    <w:rsid w:val="00D108CF"/>
    <w:rsid w:val="00E414CF"/>
    <w:rsid w:val="00E86F64"/>
    <w:rsid w:val="00E907EE"/>
    <w:rsid w:val="00E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A57B"/>
  <w15:docId w15:val="{CE7ECB00-77E0-442B-93AD-073671C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ele-GroteskEENor" w:eastAsia="Tele-GroteskEENor" w:hAnsi="Tele-GroteskEENor" w:cs="Tele-GroteskEENor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9"/>
      <w:ind w:left="185" w:hanging="7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6956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6C3"/>
    <w:rPr>
      <w:rFonts w:ascii="Tele-GroteskEENor" w:eastAsia="Tele-GroteskEENor" w:hAnsi="Tele-GroteskEENor" w:cs="Tele-GroteskEENo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6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06"/>
    <w:rPr>
      <w:rFonts w:ascii="Segoe UI" w:eastAsia="Tele-GroteskEENor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943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F4"/>
    <w:rPr>
      <w:rFonts w:ascii="Tele-GroteskEENor" w:eastAsia="Tele-GroteskEENor" w:hAnsi="Tele-GroteskEENor" w:cs="Tele-GroteskEENor"/>
    </w:rPr>
  </w:style>
  <w:style w:type="paragraph" w:styleId="Footer">
    <w:name w:val="footer"/>
    <w:basedOn w:val="Normal"/>
    <w:link w:val="FooterChar"/>
    <w:uiPriority w:val="99"/>
    <w:semiHidden/>
    <w:unhideWhenUsed/>
    <w:rsid w:val="007943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F4"/>
    <w:rPr>
      <w:rFonts w:ascii="Tele-GroteskEENor" w:eastAsia="Tele-GroteskEENor" w:hAnsi="Tele-GroteskEENor" w:cs="Tele-GroteskEENo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73DB-FACC-4C9D-8A55-57E9F972B09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Czech Rep. a.s.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Kabele Kateřina</dc:creator>
  <cp:lastModifiedBy>Prášilová Eva</cp:lastModifiedBy>
  <cp:revision>3</cp:revision>
  <cp:lastPrinted>2018-07-19T08:47:00Z</cp:lastPrinted>
  <dcterms:created xsi:type="dcterms:W3CDTF">2023-10-13T06:17:00Z</dcterms:created>
  <dcterms:modified xsi:type="dcterms:W3CDTF">2024-04-04T08:22:00Z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2018-04-09T00:00:00Z</vt:filetime>
  </property>
</Properties>
</file>